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1E804" w14:textId="77777777" w:rsidR="00702E49" w:rsidRDefault="00702E49" w:rsidP="00702E49">
      <w:pPr>
        <w:pStyle w:val="Sangradetextonormal"/>
        <w:rPr>
          <w:rFonts w:ascii="Verdana" w:hAnsi="Verdana"/>
          <w:sz w:val="14"/>
        </w:rPr>
      </w:pPr>
    </w:p>
    <w:p w14:paraId="0DCC0E70" w14:textId="77777777" w:rsidR="001E4C22" w:rsidRPr="00AF3B5E" w:rsidRDefault="001E4C22" w:rsidP="00702E49">
      <w:pPr>
        <w:pStyle w:val="Sangradetextonormal"/>
        <w:rPr>
          <w:rFonts w:ascii="Verdana" w:hAnsi="Verdana"/>
          <w:sz w:val="14"/>
        </w:rPr>
      </w:pPr>
    </w:p>
    <w:tbl>
      <w:tblPr>
        <w:tblpPr w:leftFromText="141" w:rightFromText="141" w:vertAnchor="text" w:tblpX="-714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2"/>
        <w:gridCol w:w="110"/>
        <w:gridCol w:w="1207"/>
        <w:gridCol w:w="85"/>
        <w:gridCol w:w="571"/>
        <w:gridCol w:w="327"/>
        <w:gridCol w:w="392"/>
        <w:gridCol w:w="179"/>
        <w:gridCol w:w="45"/>
        <w:gridCol w:w="96"/>
        <w:gridCol w:w="1091"/>
        <w:gridCol w:w="191"/>
        <w:gridCol w:w="137"/>
        <w:gridCol w:w="402"/>
        <w:gridCol w:w="443"/>
        <w:gridCol w:w="571"/>
        <w:gridCol w:w="98"/>
        <w:gridCol w:w="101"/>
        <w:gridCol w:w="81"/>
        <w:gridCol w:w="486"/>
        <w:gridCol w:w="648"/>
        <w:gridCol w:w="10"/>
        <w:gridCol w:w="188"/>
        <w:gridCol w:w="187"/>
        <w:gridCol w:w="465"/>
        <w:gridCol w:w="10"/>
        <w:gridCol w:w="853"/>
      </w:tblGrid>
      <w:tr w:rsidR="00702E49" w:rsidRPr="001033BB" w14:paraId="5BF17F78" w14:textId="77777777" w:rsidTr="00B61F11">
        <w:trPr>
          <w:trHeight w:val="294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EBA65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12"/>
                <w:szCs w:val="14"/>
              </w:rPr>
            </w:pPr>
            <w:r w:rsidRPr="001033BB">
              <w:rPr>
                <w:rFonts w:ascii="Verdana" w:hAnsi="Verdana"/>
                <w:i/>
                <w:sz w:val="12"/>
                <w:szCs w:val="14"/>
              </w:rPr>
              <w:t>Diligencie el formato en todos sus campos. En el evento en que algunos campos no puedan ser diligenciados, debe indicarse que NO APLICA.</w:t>
            </w:r>
          </w:p>
        </w:tc>
      </w:tr>
      <w:tr w:rsidR="00702E49" w:rsidRPr="001033BB" w14:paraId="46E6B9A2" w14:textId="77777777" w:rsidTr="00B61F11">
        <w:trPr>
          <w:trHeight w:val="421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AB40312" w14:textId="77777777" w:rsidR="00702E49" w:rsidRPr="001033BB" w:rsidRDefault="00702E49" w:rsidP="00B61F11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1. CONSECUTIVO ESTUDIO DE VIABILIDAD JURIDICA</w:t>
            </w:r>
          </w:p>
        </w:tc>
      </w:tr>
      <w:tr w:rsidR="00702E49" w:rsidRPr="001033BB" w14:paraId="2D492CCD" w14:textId="77777777" w:rsidTr="00B61F11">
        <w:trPr>
          <w:trHeight w:val="421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C4B8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2"/>
                <w:szCs w:val="14"/>
              </w:rPr>
            </w:pPr>
            <w:r w:rsidRPr="001033BB">
              <w:rPr>
                <w:rFonts w:ascii="Verdana" w:hAnsi="Verdana"/>
                <w:i/>
                <w:sz w:val="12"/>
                <w:szCs w:val="14"/>
              </w:rPr>
              <w:t xml:space="preserve">Marque con una “X” la opción que corresponda. </w:t>
            </w:r>
          </w:p>
          <w:p w14:paraId="01994A9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El Estudio se elabora: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0CE40B7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 xml:space="preserve">Por primera vez  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3395947C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411" w:type="dxa"/>
            <w:gridSpan w:val="4"/>
            <w:shd w:val="clear" w:color="auto" w:fill="auto"/>
            <w:vAlign w:val="center"/>
          </w:tcPr>
          <w:p w14:paraId="0C6E1C90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 xml:space="preserve">Por interposición de recurso 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774A66AC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  <w:highlight w:val="yellow"/>
              </w:rPr>
            </w:pP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14:paraId="7C51D4AF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Por revocatoria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5935AF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361" w:type="dxa"/>
            <w:gridSpan w:val="7"/>
            <w:shd w:val="clear" w:color="auto" w:fill="auto"/>
            <w:vAlign w:val="center"/>
          </w:tcPr>
          <w:p w14:paraId="7B6D5B01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1F62530E" w14:textId="77777777" w:rsidTr="00B61F11">
        <w:trPr>
          <w:trHeight w:val="390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87CA0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Observaciones:</w:t>
            </w:r>
          </w:p>
          <w:p w14:paraId="56E2034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  <w:p w14:paraId="37A3BBA4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4ABD678D" w14:textId="77777777" w:rsidTr="00B61F11">
        <w:trPr>
          <w:trHeight w:val="404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18F6B6" w14:textId="77777777" w:rsidR="00702E49" w:rsidRPr="001033BB" w:rsidRDefault="00702E49" w:rsidP="00B61F11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2. IDENTIFICACIÓN DE LA URBANIZACIÓN Y/O INMUEBLE</w:t>
            </w:r>
          </w:p>
        </w:tc>
      </w:tr>
      <w:tr w:rsidR="00702E49" w:rsidRPr="001033BB" w14:paraId="795F57CB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7858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Expediente No: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A5E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6CC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Departamento: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2B6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0D033A5D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F6FD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Municipio/Distrito: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25A6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0DB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Urbanización / Barrio: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EF1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7EC1A858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7D9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Dirección Actual: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1429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4B0D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Fuente de la Dirección Actual: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99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632DF57E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FC7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Tipo de Catastro: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D038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AF8A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Tipo de Identificador Predial No.: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07A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4A0C26A5" w14:textId="77777777" w:rsidTr="00B61F11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D79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No. de Matrícula Inmobiliaria de Mayor Extensión: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626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75E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No. de Matrícula Inmobiliaria Individual (si aplica):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B67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43D8316E" w14:textId="77777777" w:rsidTr="00B61F11">
        <w:trPr>
          <w:trHeight w:val="41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4D1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Observaciones:</w:t>
            </w:r>
          </w:p>
          <w:p w14:paraId="7F49BDB3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  <w:p w14:paraId="4AFF6BD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3C912459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D1024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3. TRADICIÓN O CAMBIOS URBANISTICOS </w:t>
            </w:r>
          </w:p>
        </w:tc>
      </w:tr>
      <w:tr w:rsidR="00702E49" w:rsidRPr="001033BB" w14:paraId="279417CF" w14:textId="77777777" w:rsidTr="00B61F11">
        <w:trPr>
          <w:trHeight w:val="340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3A0F" w14:textId="77777777" w:rsidR="00702E49" w:rsidRPr="001033BB" w:rsidRDefault="00702E49" w:rsidP="00B61F11">
            <w:pPr>
              <w:pStyle w:val="Sangradetextonormal"/>
              <w:ind w:left="142" w:hanging="142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Modo de Adquisición: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0F1D" w14:textId="77777777" w:rsidR="00702E49" w:rsidRPr="001033BB" w:rsidRDefault="00702E49" w:rsidP="00B61F11">
            <w:pPr>
              <w:pStyle w:val="Sangradetextonormal"/>
              <w:ind w:left="34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B82E" w14:textId="77777777" w:rsidR="00702E49" w:rsidRPr="001033BB" w:rsidRDefault="00702E49" w:rsidP="00B61F11">
            <w:pPr>
              <w:pStyle w:val="Sangradetextonormal"/>
              <w:ind w:left="-6" w:firstLine="6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No. de la Escritura Pública, del Acto Administrativo o Sentencia.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A516" w14:textId="77777777" w:rsidR="00702E49" w:rsidRPr="001033BB" w:rsidRDefault="00702E49" w:rsidP="00B61F11">
            <w:pPr>
              <w:pStyle w:val="Sangradetextonormal"/>
              <w:ind w:left="601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65BDBDC2" w14:textId="77777777" w:rsidTr="00B61F11">
        <w:trPr>
          <w:trHeight w:val="340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195E" w14:textId="77777777" w:rsidR="00702E49" w:rsidRPr="001033BB" w:rsidRDefault="00702E49" w:rsidP="00B61F11">
            <w:pPr>
              <w:pStyle w:val="Sangradetextonormal"/>
              <w:ind w:left="142" w:hanging="142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Notaría o Juzgado (si aplica)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BB2" w14:textId="77777777" w:rsidR="00702E49" w:rsidRPr="001033BB" w:rsidRDefault="00702E49" w:rsidP="00B61F11">
            <w:pPr>
              <w:pStyle w:val="Sangradetextonormal"/>
              <w:ind w:left="34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288C" w14:textId="77777777" w:rsidR="00702E49" w:rsidRPr="001033BB" w:rsidRDefault="00702E49" w:rsidP="00B61F11">
            <w:pPr>
              <w:pStyle w:val="Sangradetextonormal"/>
              <w:ind w:left="-6" w:firstLine="6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Fecha de la Escritura Pública, del Acto Administrativo o Sentencia.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522" w14:textId="77777777" w:rsidR="00702E49" w:rsidRPr="001033BB" w:rsidRDefault="00702E49" w:rsidP="00B61F11">
            <w:pPr>
              <w:pStyle w:val="Sangradetextonormal"/>
              <w:ind w:left="226" w:hanging="226"/>
              <w:jc w:val="left"/>
              <w:rPr>
                <w:rFonts w:ascii="Verdana" w:hAnsi="Verdana"/>
                <w:b/>
                <w:color w:val="D9D9D9"/>
                <w:sz w:val="12"/>
                <w:szCs w:val="14"/>
              </w:rPr>
            </w:pPr>
            <w:r w:rsidRPr="001033BB">
              <w:rPr>
                <w:rFonts w:ascii="Verdana" w:hAnsi="Verdana"/>
                <w:color w:val="D9D9D9"/>
                <w:sz w:val="12"/>
                <w:szCs w:val="14"/>
              </w:rPr>
              <w:t>DD/MM/AA</w:t>
            </w:r>
          </w:p>
        </w:tc>
      </w:tr>
      <w:tr w:rsidR="00702E49" w:rsidRPr="001033BB" w14:paraId="0F3FB621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576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Observaciones: </w:t>
            </w:r>
          </w:p>
          <w:p w14:paraId="30AF3E9E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4E020991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F35D52B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5CAB6F6B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ACBDC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4. </w:t>
            </w:r>
            <w:r w:rsidRPr="001033BB"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1033BB">
              <w:rPr>
                <w:rFonts w:ascii="Verdana" w:hAnsi="Verdana"/>
                <w:b/>
                <w:sz w:val="12"/>
                <w:szCs w:val="14"/>
              </w:rPr>
              <w:t>LIMITACIONES AL DOMINIO O CONDICIONES RESOLUTORIAS</w:t>
            </w:r>
          </w:p>
        </w:tc>
      </w:tr>
      <w:tr w:rsidR="00702E49" w:rsidRPr="001033BB" w14:paraId="0BED93B3" w14:textId="77777777" w:rsidTr="00B61F11">
        <w:trPr>
          <w:trHeight w:val="622"/>
        </w:trPr>
        <w:tc>
          <w:tcPr>
            <w:tcW w:w="889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41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 xml:space="preserve">¿Presenta limitaciones de Dominio o condiciones resolutorias?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1BA2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0FD2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NO</w:t>
            </w:r>
          </w:p>
        </w:tc>
      </w:tr>
      <w:tr w:rsidR="00702E49" w:rsidRPr="001033BB" w14:paraId="446F968E" w14:textId="77777777" w:rsidTr="00B61F11">
        <w:trPr>
          <w:trHeight w:val="63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E02B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Si su respuesta es SI, indique cual (es</w:t>
            </w:r>
            <w:proofErr w:type="gramStart"/>
            <w:r w:rsidRPr="001033BB">
              <w:rPr>
                <w:rFonts w:ascii="Verdana" w:hAnsi="Verdana"/>
                <w:sz w:val="12"/>
                <w:szCs w:val="14"/>
              </w:rPr>
              <w:t>) :</w:t>
            </w:r>
            <w:proofErr w:type="gramEnd"/>
          </w:p>
        </w:tc>
      </w:tr>
      <w:tr w:rsidR="00702E49" w:rsidRPr="001033BB" w14:paraId="6DF10C15" w14:textId="77777777" w:rsidTr="00B61F11">
        <w:trPr>
          <w:trHeight w:val="63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A3A0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Observaciones: </w:t>
            </w:r>
          </w:p>
          <w:p w14:paraId="0F64E308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2C665C56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0EBB3BC1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696E59" w14:textId="77777777" w:rsidR="00702E49" w:rsidRPr="001033BB" w:rsidRDefault="00702E49" w:rsidP="00B61F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5. SEGREGACIONES</w:t>
            </w:r>
          </w:p>
        </w:tc>
      </w:tr>
      <w:tr w:rsidR="00702E49" w:rsidRPr="001033BB" w14:paraId="0751AF08" w14:textId="77777777" w:rsidTr="00B61F11">
        <w:trPr>
          <w:trHeight w:val="78"/>
        </w:trPr>
        <w:tc>
          <w:tcPr>
            <w:tcW w:w="88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01269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  <w:p w14:paraId="77FF21EE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¿Presenta Segregaciones?</w:t>
            </w:r>
          </w:p>
          <w:p w14:paraId="11C594DC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C76E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9E0CC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NO</w:t>
            </w:r>
          </w:p>
        </w:tc>
      </w:tr>
      <w:tr w:rsidR="00702E49" w:rsidRPr="001033BB" w14:paraId="4F3AA327" w14:textId="77777777" w:rsidTr="00B61F11">
        <w:trPr>
          <w:trHeight w:val="7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46CDE" w14:textId="77777777" w:rsidR="00702E49" w:rsidRPr="001033BB" w:rsidRDefault="00702E49" w:rsidP="00B61F11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Observaciones: </w:t>
            </w:r>
          </w:p>
          <w:p w14:paraId="1BC17760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680D5D43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22BC53CC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275C4D31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701866FD" w14:textId="77777777" w:rsidR="00702E49" w:rsidRPr="001033BB" w:rsidRDefault="00702E49" w:rsidP="00B61F11">
            <w:pPr>
              <w:pStyle w:val="Sangradetextonormal"/>
              <w:ind w:left="-3"/>
              <w:rPr>
                <w:rFonts w:ascii="Verdana" w:hAnsi="Verdana"/>
                <w:sz w:val="12"/>
                <w:szCs w:val="14"/>
              </w:rPr>
            </w:pPr>
          </w:p>
          <w:p w14:paraId="63BFC6C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5514B2D8" w14:textId="77777777" w:rsidTr="00B61F11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91F29A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t>6. ESTUDIO DE VIABILIDAD JURIDICA</w:t>
            </w:r>
          </w:p>
        </w:tc>
      </w:tr>
      <w:tr w:rsidR="00702E49" w:rsidRPr="001033BB" w14:paraId="76A3BA50" w14:textId="77777777" w:rsidTr="00B61F11">
        <w:trPr>
          <w:trHeight w:val="69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B74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4DE7299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34DF069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B0B97E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36CE7D36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2AA65EC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B8FC4AD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578F16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BD193A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621A069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B7CC7F9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D10568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16D34B7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301C07C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354222C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53BE116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2536F1D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47E7BD2F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  <w:p w14:paraId="2051A13F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716AA58E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2F7365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b/>
                <w:sz w:val="12"/>
                <w:szCs w:val="14"/>
              </w:rPr>
              <w:lastRenderedPageBreak/>
              <w:t>7. IDENTIFICACIÓN DE BIENES DE CESIÓN A TÍTULO GRATUITO</w:t>
            </w:r>
          </w:p>
        </w:tc>
      </w:tr>
      <w:tr w:rsidR="00702E49" w:rsidRPr="001033BB" w14:paraId="71761D77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E3DD0" w14:textId="77777777" w:rsidR="00702E49" w:rsidRPr="001033BB" w:rsidRDefault="00702E49" w:rsidP="00B61F11">
            <w:pPr>
              <w:pStyle w:val="Sangradetextonormal"/>
              <w:ind w:left="-3"/>
              <w:jc w:val="center"/>
              <w:rPr>
                <w:rFonts w:ascii="Verdana" w:hAnsi="Verdana"/>
                <w:sz w:val="12"/>
                <w:szCs w:val="14"/>
              </w:rPr>
            </w:pPr>
            <w:proofErr w:type="gramStart"/>
            <w:r w:rsidRPr="001033BB">
              <w:rPr>
                <w:rFonts w:ascii="Verdana" w:hAnsi="Verdana"/>
                <w:b/>
                <w:sz w:val="12"/>
                <w:szCs w:val="14"/>
              </w:rPr>
              <w:t>7.1  Bienes</w:t>
            </w:r>
            <w:proofErr w:type="gramEnd"/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 a transferir en virtud del artículo 6 de la Ley 1001 de 2005 (cuando aplique):</w:t>
            </w:r>
          </w:p>
        </w:tc>
      </w:tr>
      <w:tr w:rsidR="00702E49" w:rsidRPr="001033BB" w14:paraId="26958B81" w14:textId="77777777" w:rsidTr="00B61F11">
        <w:trPr>
          <w:cantSplit/>
          <w:trHeight w:val="148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5451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Tipo y código de zona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8B74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Identificador predial código catastral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2CDCA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Localización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D808C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Matricula inmobiliaria mayor extensión y/o individual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3D3E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Puntos de referencia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F712E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Linderos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5BCB8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Área</w:t>
            </w:r>
          </w:p>
        </w:tc>
      </w:tr>
      <w:tr w:rsidR="00702E49" w:rsidRPr="001033BB" w14:paraId="09130A23" w14:textId="77777777" w:rsidTr="00B61F11">
        <w:trPr>
          <w:cantSplit/>
          <w:trHeight w:val="165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913B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15535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A4C0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3311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ADA6E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AA43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0448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3FE82151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89B3C" w14:textId="77777777" w:rsidR="00702E49" w:rsidRPr="001033BB" w:rsidRDefault="00702E49" w:rsidP="00B61F11">
            <w:pPr>
              <w:pStyle w:val="Sangradetextonormal"/>
              <w:ind w:left="-3"/>
              <w:jc w:val="center"/>
              <w:rPr>
                <w:rFonts w:ascii="Verdana" w:hAnsi="Verdana"/>
                <w:sz w:val="12"/>
                <w:szCs w:val="14"/>
              </w:rPr>
            </w:pPr>
            <w:proofErr w:type="gramStart"/>
            <w:r w:rsidRPr="001033BB">
              <w:rPr>
                <w:rFonts w:ascii="Verdana" w:hAnsi="Verdana"/>
                <w:b/>
                <w:sz w:val="12"/>
                <w:szCs w:val="14"/>
              </w:rPr>
              <w:t>7.2  Bienes</w:t>
            </w:r>
            <w:proofErr w:type="gramEnd"/>
            <w:r w:rsidRPr="001033BB">
              <w:rPr>
                <w:rFonts w:ascii="Verdana" w:hAnsi="Verdana"/>
                <w:b/>
                <w:sz w:val="12"/>
                <w:szCs w:val="14"/>
              </w:rPr>
              <w:t xml:space="preserve"> a transferir en virtud del numeral 9 del artículo 2.2.6.1.3.1 del Decreto 1077 de 2015 (cuando aplique):</w:t>
            </w:r>
          </w:p>
        </w:tc>
      </w:tr>
      <w:tr w:rsidR="00702E49" w:rsidRPr="001033BB" w14:paraId="1719A6C0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2F612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54B6DB9E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06141664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4BABB393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1514DF8D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5CD0F332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  <w:p w14:paraId="570EB03C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698BDD4A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5B5448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2A74D149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7BA3AE67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6AFACA59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8EB8CA8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06122D4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025F0463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1238016A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099B02E0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1AC9FACF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51A789DA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236041F2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  <w:p w14:paraId="3ECE9AE9" w14:textId="77777777" w:rsidR="00702E49" w:rsidRPr="001033BB" w:rsidRDefault="00702E49" w:rsidP="00B61F11">
            <w:pPr>
              <w:pStyle w:val="Sangradetextonormal"/>
              <w:ind w:left="0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117F8332" w14:textId="77777777" w:rsidTr="00B61F11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1EDFE0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2"/>
                <w:szCs w:val="14"/>
              </w:rPr>
            </w:pPr>
          </w:p>
        </w:tc>
      </w:tr>
      <w:tr w:rsidR="00702E49" w:rsidRPr="001033BB" w14:paraId="4665130D" w14:textId="77777777" w:rsidTr="00B61F11">
        <w:trPr>
          <w:cantSplit/>
          <w:trHeight w:val="52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8E170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Diligenciado por: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8272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21373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Cargo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0F9EA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08FBA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Fecha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A704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2"/>
                <w:szCs w:val="14"/>
              </w:rPr>
            </w:pPr>
            <w:r w:rsidRPr="001033BB">
              <w:rPr>
                <w:rFonts w:ascii="Verdana" w:hAnsi="Verdana"/>
                <w:color w:val="D9D9D9"/>
                <w:sz w:val="12"/>
                <w:szCs w:val="14"/>
              </w:rPr>
              <w:t>DD/MM/AA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2132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4A82F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  <w:tr w:rsidR="00702E49" w:rsidRPr="001033BB" w14:paraId="3DA480EB" w14:textId="77777777" w:rsidTr="00B61F11">
        <w:trPr>
          <w:cantSplit/>
          <w:trHeight w:val="52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BCDB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Revisado por: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1DCF3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62361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Cargo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168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6290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Fecha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059B7" w14:textId="77777777" w:rsidR="00702E49" w:rsidRPr="001033BB" w:rsidRDefault="00702E49" w:rsidP="00B61F11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2"/>
                <w:szCs w:val="14"/>
              </w:rPr>
            </w:pPr>
            <w:r w:rsidRPr="001033BB">
              <w:rPr>
                <w:rFonts w:ascii="Verdana" w:hAnsi="Verdana"/>
                <w:color w:val="D9D9D9"/>
                <w:sz w:val="12"/>
                <w:szCs w:val="14"/>
              </w:rPr>
              <w:t>DD/MM/AA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A475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  <w:r w:rsidRPr="001033BB">
              <w:rPr>
                <w:rFonts w:ascii="Verdana" w:hAnsi="Verdana"/>
                <w:sz w:val="12"/>
                <w:szCs w:val="14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81AAE" w14:textId="77777777" w:rsidR="00702E49" w:rsidRPr="001033BB" w:rsidRDefault="00702E49" w:rsidP="00B61F11">
            <w:pPr>
              <w:pStyle w:val="Sangradetextonormal"/>
              <w:ind w:left="0"/>
              <w:jc w:val="left"/>
              <w:rPr>
                <w:rFonts w:ascii="Verdana" w:hAnsi="Verdana"/>
                <w:sz w:val="12"/>
                <w:szCs w:val="14"/>
              </w:rPr>
            </w:pPr>
          </w:p>
        </w:tc>
      </w:tr>
    </w:tbl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p w14:paraId="02004DC0" w14:textId="5965E69E" w:rsidR="00EE2560" w:rsidRPr="00A670BB" w:rsidRDefault="00702E49" w:rsidP="007C325B">
      <w:pPr>
        <w:pStyle w:val="Sangradetextonormal"/>
        <w:ind w:left="142" w:right="142"/>
        <w:jc w:val="left"/>
        <w:rPr>
          <w:rFonts w:ascii="Verdana" w:hAnsi="Verdana"/>
        </w:rPr>
      </w:pPr>
      <w:r>
        <w:rPr>
          <w:rFonts w:ascii="Verdana" w:hAnsi="Verdana"/>
          <w:sz w:val="14"/>
          <w:szCs w:val="14"/>
        </w:rPr>
        <w:t>E</w:t>
      </w:r>
      <w:r w:rsidR="00E13DA7" w:rsidRPr="00A670BB">
        <w:rPr>
          <w:rFonts w:ascii="Verdana" w:hAnsi="Verdana"/>
          <w:sz w:val="14"/>
          <w:szCs w:val="14"/>
        </w:rPr>
        <w:t>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http://www.minvivienda.gov.co/ProcesosCorporativos/GPT-L-01%20Lineamiento%20tratamiento%20datos%20personales%201.0.pdf</w:t>
      </w:r>
    </w:p>
    <w:sectPr w:rsidR="00EE2560" w:rsidRPr="00A670BB" w:rsidSect="005E5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09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0432" w14:textId="77777777" w:rsidR="00485E86" w:rsidRDefault="00485E86">
      <w:r>
        <w:separator/>
      </w:r>
    </w:p>
  </w:endnote>
  <w:endnote w:type="continuationSeparator" w:id="0">
    <w:p w14:paraId="1A5603AC" w14:textId="77777777" w:rsidR="00485E86" w:rsidRDefault="0048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0B85" w14:textId="77777777" w:rsidR="00FE31A4" w:rsidRDefault="00FE31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06F143EF" w:rsidR="00EE2560" w:rsidRPr="004C618E" w:rsidRDefault="00C83843">
    <w:pPr>
      <w:pStyle w:val="Piedepgina"/>
      <w:jc w:val="right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0C7E5CA" wp14:editId="4E5F7ED3">
              <wp:simplePos x="0" y="0"/>
              <wp:positionH relativeFrom="margin">
                <wp:posOffset>-450850</wp:posOffset>
              </wp:positionH>
              <wp:positionV relativeFrom="paragraph">
                <wp:posOffset>-542290</wp:posOffset>
              </wp:positionV>
              <wp:extent cx="673608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608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50615" w14:textId="66CAAF7A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</w:t>
                          </w:r>
                        </w:p>
                        <w:p w14:paraId="2A6732CA" w14:textId="77777777" w:rsidR="00C83843" w:rsidRDefault="00C83843" w:rsidP="00C83843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4143D15" w14:textId="77777777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7783655" w14:textId="77777777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9C91D57" w14:textId="77777777" w:rsidR="00C83843" w:rsidRPr="00764AA0" w:rsidRDefault="00C83843" w:rsidP="00C83843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37770DE" w14:textId="77777777" w:rsidR="00C83843" w:rsidRPr="00764AA0" w:rsidRDefault="00C83843" w:rsidP="00C83843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0C7E5C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5.5pt;margin-top:-42.7pt;width:530.4pt;height:59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" filled="f" stroked="f" strokeweight=".5pt">
              <v:textbox>
                <w:txbxContent>
                  <w:p w14:paraId="5F250615" w14:textId="66CAAF7A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</w:t>
                    </w:r>
                  </w:p>
                  <w:p w14:paraId="2A6732CA" w14:textId="77777777" w:rsidR="00C83843" w:rsidRDefault="00C83843" w:rsidP="00C83843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4143D15" w14:textId="77777777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7783655" w14:textId="77777777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9C91D57" w14:textId="77777777" w:rsidR="00C83843" w:rsidRPr="00764AA0" w:rsidRDefault="00C83843" w:rsidP="00C83843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37770DE" w14:textId="77777777" w:rsidR="00C83843" w:rsidRPr="00764AA0" w:rsidRDefault="00C83843" w:rsidP="00C83843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0EE" w14:textId="77777777" w:rsidR="00FE31A4" w:rsidRDefault="00FE3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4340" w14:textId="77777777" w:rsidR="00485E86" w:rsidRDefault="00485E86">
      <w:r>
        <w:separator/>
      </w:r>
    </w:p>
  </w:footnote>
  <w:footnote w:type="continuationSeparator" w:id="0">
    <w:p w14:paraId="04E5CC2A" w14:textId="77777777" w:rsidR="00485E86" w:rsidRDefault="0048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2EE" w14:textId="77777777" w:rsidR="00FE31A4" w:rsidRDefault="00FE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9A9E" w14:textId="77777777" w:rsidR="00C83843" w:rsidRPr="00FE31A4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FE31A4">
      <w:rPr>
        <w:rStyle w:val="Ninguno"/>
        <w:rFonts w:ascii="Verdana" w:hAnsi="Verdana"/>
        <w:sz w:val="22"/>
        <w:szCs w:val="22"/>
        <w:lang w:val="es-CO"/>
      </w:rPr>
      <w:t xml:space="preserve">FORMATO: </w:t>
    </w:r>
    <w:r w:rsidRPr="00FE31A4">
      <w:rPr>
        <w:rFonts w:ascii="Verdana" w:hAnsi="Verdana"/>
        <w:sz w:val="22"/>
        <w:szCs w:val="22"/>
      </w:rPr>
      <w:t xml:space="preserve"> </w:t>
    </w:r>
    <w:r w:rsidRPr="00FE31A4">
      <w:rPr>
        <w:rStyle w:val="Ninguno"/>
        <w:rFonts w:ascii="Verdana" w:hAnsi="Verdana"/>
        <w:sz w:val="22"/>
        <w:szCs w:val="22"/>
        <w:lang w:val="es-CO"/>
      </w:rPr>
      <w:t>ESTUDIO DE VIABILIDAD JURÍD</w:t>
    </w:r>
    <w:r w:rsidRPr="00FE31A4">
      <w:rPr>
        <w:rStyle w:val="Ninguno"/>
        <w:rFonts w:ascii="Verdana" w:hAnsi="Verdana"/>
        <w:sz w:val="22"/>
        <w:szCs w:val="22"/>
      </w:rPr>
      <w:t>I</w:t>
    </w:r>
    <w:r w:rsidRPr="00FE31A4">
      <w:rPr>
        <w:rStyle w:val="Ninguno"/>
        <w:rFonts w:ascii="Verdana" w:hAnsi="Verdana"/>
        <w:sz w:val="22"/>
        <w:szCs w:val="22"/>
        <w:lang w:val="es-CO"/>
      </w:rPr>
      <w:t>CA</w:t>
    </w:r>
  </w:p>
  <w:p w14:paraId="26FC9D81" w14:textId="77777777" w:rsidR="00C83843" w:rsidRPr="00FE31A4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FE31A4">
      <w:rPr>
        <w:rStyle w:val="Ninguno"/>
        <w:rFonts w:ascii="Verdana" w:hAnsi="Verdana"/>
        <w:sz w:val="22"/>
        <w:szCs w:val="22"/>
        <w:lang w:val="es-CO"/>
      </w:rPr>
      <w:t>ARTÍCULO 6 DE LA LEY 1001 DE 2005</w:t>
    </w:r>
  </w:p>
  <w:p w14:paraId="44332C50" w14:textId="77777777" w:rsidR="00C83843" w:rsidRPr="00FE31A4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FE31A4">
      <w:rPr>
        <w:rStyle w:val="Ninguno"/>
        <w:rFonts w:ascii="Verdana" w:hAnsi="Verdana"/>
        <w:sz w:val="22"/>
        <w:szCs w:val="22"/>
        <w:lang w:val="es-CO"/>
      </w:rPr>
      <w:t>PROCESO: GESTIÓN A LA POLÍTICA DE VIVIENDA</w:t>
    </w:r>
  </w:p>
  <w:p w14:paraId="7A37D9B7" w14:textId="45703B85" w:rsidR="00C83843" w:rsidRPr="00FE31A4" w:rsidRDefault="00C83843" w:rsidP="001033BB">
    <w:pPr>
      <w:pStyle w:val="Encabezado"/>
      <w:framePr w:h="1057" w:hRule="exact" w:hSpace="141" w:wrap="around" w:vAnchor="text" w:hAnchor="page" w:x="1432" w:y="492"/>
      <w:jc w:val="center"/>
      <w:rPr>
        <w:rFonts w:ascii="Verdana" w:hAnsi="Verdana"/>
        <w:sz w:val="22"/>
        <w:szCs w:val="22"/>
      </w:rPr>
    </w:pPr>
    <w:r w:rsidRPr="00FE31A4">
      <w:rPr>
        <w:rFonts w:ascii="Verdana" w:hAnsi="Verdana"/>
        <w:sz w:val="22"/>
        <w:szCs w:val="22"/>
      </w:rPr>
      <w:t xml:space="preserve">VERSIÓN: </w:t>
    </w:r>
    <w:r w:rsidR="00AD3426" w:rsidRPr="00FE31A4">
      <w:rPr>
        <w:rFonts w:ascii="Verdana" w:hAnsi="Verdana"/>
        <w:sz w:val="22"/>
        <w:szCs w:val="22"/>
      </w:rPr>
      <w:t>8</w:t>
    </w:r>
    <w:r w:rsidRPr="00FE31A4">
      <w:rPr>
        <w:rFonts w:ascii="Verdana" w:hAnsi="Verdana"/>
        <w:sz w:val="22"/>
        <w:szCs w:val="22"/>
      </w:rPr>
      <w:t>.0</w:t>
    </w:r>
    <w:r w:rsidR="00FE31A4">
      <w:rPr>
        <w:rFonts w:ascii="Verdana" w:hAnsi="Verdana"/>
        <w:sz w:val="22"/>
        <w:szCs w:val="22"/>
      </w:rPr>
      <w:t xml:space="preserve"> </w:t>
    </w:r>
    <w:r w:rsidRPr="00FE31A4">
      <w:rPr>
        <w:rFonts w:ascii="Verdana" w:hAnsi="Verdana"/>
        <w:sz w:val="22"/>
        <w:szCs w:val="22"/>
      </w:rPr>
      <w:t xml:space="preserve"> Fecha: </w:t>
    </w:r>
    <w:r w:rsidR="00AD3426" w:rsidRPr="00FE31A4">
      <w:rPr>
        <w:rFonts w:ascii="Verdana" w:hAnsi="Verdana"/>
        <w:sz w:val="22"/>
        <w:szCs w:val="22"/>
      </w:rPr>
      <w:t>23</w:t>
    </w:r>
    <w:r w:rsidRPr="00FE31A4">
      <w:rPr>
        <w:rFonts w:ascii="Verdana" w:hAnsi="Verdana"/>
        <w:sz w:val="22"/>
        <w:szCs w:val="22"/>
      </w:rPr>
      <w:t>/0</w:t>
    </w:r>
    <w:r w:rsidR="00AD3426" w:rsidRPr="00FE31A4">
      <w:rPr>
        <w:rFonts w:ascii="Verdana" w:hAnsi="Verdana"/>
        <w:sz w:val="22"/>
        <w:szCs w:val="22"/>
      </w:rPr>
      <w:t>5</w:t>
    </w:r>
    <w:r w:rsidRPr="00FE31A4">
      <w:rPr>
        <w:rFonts w:ascii="Verdana" w:hAnsi="Verdana"/>
        <w:sz w:val="22"/>
        <w:szCs w:val="22"/>
      </w:rPr>
      <w:t>/202</w:t>
    </w:r>
    <w:r w:rsidR="00AD3426" w:rsidRPr="00FE31A4">
      <w:rPr>
        <w:rFonts w:ascii="Verdana" w:hAnsi="Verdana"/>
        <w:sz w:val="22"/>
        <w:szCs w:val="22"/>
      </w:rPr>
      <w:t>5</w:t>
    </w:r>
    <w:r w:rsidR="00FE31A4">
      <w:rPr>
        <w:rFonts w:ascii="Verdana" w:hAnsi="Verdana"/>
        <w:sz w:val="22"/>
        <w:szCs w:val="22"/>
      </w:rPr>
      <w:t xml:space="preserve"> </w:t>
    </w:r>
    <w:r w:rsidRPr="00FE31A4">
      <w:rPr>
        <w:rFonts w:ascii="Verdana" w:hAnsi="Verdana"/>
        <w:sz w:val="22"/>
        <w:szCs w:val="22"/>
      </w:rPr>
      <w:t xml:space="preserve"> Código: GPV-F-38</w:t>
    </w:r>
  </w:p>
  <w:p w14:paraId="4BA84DD2" w14:textId="77777777" w:rsidR="00C83843" w:rsidRPr="009727A5" w:rsidRDefault="00C83843" w:rsidP="001033BB">
    <w:pPr>
      <w:pStyle w:val="Sangradetextonormal"/>
      <w:framePr w:h="1057" w:hRule="exact" w:hSpace="141" w:wrap="around" w:vAnchor="text" w:hAnchor="page" w:x="1432" w:y="492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</w:p>
  <w:p w14:paraId="243226D9" w14:textId="27BD023F" w:rsidR="006E380F" w:rsidRDefault="00AD3426" w:rsidP="00C83843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6944" behindDoc="1" locked="0" layoutInCell="1" allowOverlap="1" wp14:anchorId="190BDFCA" wp14:editId="6F0E7C42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9CBA" w14:textId="77777777" w:rsidR="00FE31A4" w:rsidRDefault="00FE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45F85"/>
    <w:rsid w:val="00060A19"/>
    <w:rsid w:val="00067A70"/>
    <w:rsid w:val="00067C35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0A3D"/>
    <w:rsid w:val="000F4099"/>
    <w:rsid w:val="00100704"/>
    <w:rsid w:val="001033BB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622A2"/>
    <w:rsid w:val="00173C66"/>
    <w:rsid w:val="00184B57"/>
    <w:rsid w:val="00193A98"/>
    <w:rsid w:val="001A1734"/>
    <w:rsid w:val="001A406C"/>
    <w:rsid w:val="001B0E9D"/>
    <w:rsid w:val="001B5923"/>
    <w:rsid w:val="001C45A0"/>
    <w:rsid w:val="001C5E94"/>
    <w:rsid w:val="001D7C4D"/>
    <w:rsid w:val="001E4C22"/>
    <w:rsid w:val="001E569F"/>
    <w:rsid w:val="001E5D76"/>
    <w:rsid w:val="001E7F64"/>
    <w:rsid w:val="002023DE"/>
    <w:rsid w:val="002074CB"/>
    <w:rsid w:val="002155AE"/>
    <w:rsid w:val="00216D73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D283F"/>
    <w:rsid w:val="003D403C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85E86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16DD2"/>
    <w:rsid w:val="005209ED"/>
    <w:rsid w:val="0052281A"/>
    <w:rsid w:val="005229DB"/>
    <w:rsid w:val="0054582B"/>
    <w:rsid w:val="00555B23"/>
    <w:rsid w:val="00570632"/>
    <w:rsid w:val="005750BF"/>
    <w:rsid w:val="005752D4"/>
    <w:rsid w:val="00596C0D"/>
    <w:rsid w:val="005A06CC"/>
    <w:rsid w:val="005A1BDF"/>
    <w:rsid w:val="005B7B72"/>
    <w:rsid w:val="005C126F"/>
    <w:rsid w:val="005C1692"/>
    <w:rsid w:val="005E1C8A"/>
    <w:rsid w:val="005E5DDE"/>
    <w:rsid w:val="005F30C0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57166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56F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2386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B2B49"/>
    <w:rsid w:val="00AC1E47"/>
    <w:rsid w:val="00AD15BE"/>
    <w:rsid w:val="00AD3426"/>
    <w:rsid w:val="00AE686D"/>
    <w:rsid w:val="00AE6EF0"/>
    <w:rsid w:val="00AF4A06"/>
    <w:rsid w:val="00AF6C9A"/>
    <w:rsid w:val="00B07143"/>
    <w:rsid w:val="00B07FC5"/>
    <w:rsid w:val="00B1047F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1F11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35B51"/>
    <w:rsid w:val="00C469FB"/>
    <w:rsid w:val="00C53107"/>
    <w:rsid w:val="00C80605"/>
    <w:rsid w:val="00C83843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54E3"/>
    <w:rsid w:val="00D61829"/>
    <w:rsid w:val="00D62015"/>
    <w:rsid w:val="00D622A3"/>
    <w:rsid w:val="00D62B11"/>
    <w:rsid w:val="00D64D75"/>
    <w:rsid w:val="00D70A3B"/>
    <w:rsid w:val="00D756B4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B26DA"/>
    <w:rsid w:val="00EB3D3B"/>
    <w:rsid w:val="00EC5705"/>
    <w:rsid w:val="00ED5FF7"/>
    <w:rsid w:val="00EE2560"/>
    <w:rsid w:val="00F11E25"/>
    <w:rsid w:val="00F22ECF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31A4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Lilian Andrea Sanabria Abdalá</cp:lastModifiedBy>
  <cp:revision>2</cp:revision>
  <cp:lastPrinted>2019-10-18T21:16:00Z</cp:lastPrinted>
  <dcterms:created xsi:type="dcterms:W3CDTF">2025-05-21T23:38:00Z</dcterms:created>
  <dcterms:modified xsi:type="dcterms:W3CDTF">2025-05-21T23:38:00Z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