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44E2" w14:textId="77777777" w:rsidR="007E6E93" w:rsidRDefault="007E6E93" w:rsidP="00B7075C">
      <w:pPr>
        <w:pStyle w:val="Prrafodelista"/>
        <w:ind w:left="0"/>
        <w:rPr>
          <w:rFonts w:ascii="Verdana" w:hAnsi="Verdana" w:cs="Arial"/>
          <w:b/>
          <w:lang w:val="es-ES"/>
        </w:rPr>
      </w:pPr>
    </w:p>
    <w:p w14:paraId="3584A144" w14:textId="50DB7A14" w:rsidR="00B7075C" w:rsidRPr="0013579C" w:rsidRDefault="00B7075C" w:rsidP="00B7075C">
      <w:pPr>
        <w:pStyle w:val="Prrafodelista"/>
        <w:ind w:left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Contexto</w:t>
      </w:r>
    </w:p>
    <w:p w14:paraId="3C2B84C5" w14:textId="77777777" w:rsidR="00B7075C" w:rsidRPr="0013579C" w:rsidRDefault="00B7075C" w:rsidP="00B7075C">
      <w:pPr>
        <w:pStyle w:val="Prrafodelista"/>
        <w:ind w:left="0"/>
        <w:rPr>
          <w:rFonts w:ascii="Verdana" w:hAnsi="Verdana" w:cs="Arial"/>
          <w:lang w:val="es-ES"/>
        </w:rPr>
      </w:pPr>
    </w:p>
    <w:p w14:paraId="6C9155F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Objeto</w:t>
      </w:r>
    </w:p>
    <w:p w14:paraId="1E9B4A0F" w14:textId="77777777" w:rsidR="00B7075C" w:rsidRPr="0013579C" w:rsidRDefault="00B7075C" w:rsidP="00B7075C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0D07C38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Partícipes</w:t>
      </w:r>
    </w:p>
    <w:p w14:paraId="7DE4D92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Contratante: MINISTERIO DE VIVIENDA CIUDAD Y TERRITORIO - MVCT</w:t>
      </w:r>
    </w:p>
    <w:p w14:paraId="4F6B6F1B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Contratista: NOMBRE</w:t>
      </w:r>
    </w:p>
    <w:p w14:paraId="679232A7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6EAE145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Plazo</w:t>
      </w:r>
    </w:p>
    <w:p w14:paraId="274E7DF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0942F6B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Ciudadanos beneficiarios</w:t>
      </w:r>
    </w:p>
    <w:p w14:paraId="68FEEA92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1679D01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Disponibilidad de recursos y conocimientos para el Proceso de Contratación</w:t>
      </w:r>
      <w:r w:rsidRPr="0013579C">
        <w:rPr>
          <w:rFonts w:ascii="Verdana" w:hAnsi="Verdana" w:cs="Arial"/>
          <w:lang w:val="es-ES"/>
        </w:rPr>
        <w:t>.</w:t>
      </w:r>
    </w:p>
    <w:p w14:paraId="5A2FB44D" w14:textId="77777777" w:rsidR="00B7075C" w:rsidRPr="0013579C" w:rsidRDefault="00B7075C" w:rsidP="00B7075C">
      <w:pPr>
        <w:spacing w:after="0" w:line="240" w:lineRule="auto"/>
        <w:jc w:val="both"/>
        <w:rPr>
          <w:rFonts w:ascii="Verdana" w:hAnsi="Verdana" w:cs="Arial"/>
          <w:lang w:val="es-ES" w:eastAsia="es-ES"/>
        </w:rPr>
      </w:pPr>
    </w:p>
    <w:p w14:paraId="7324DA8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Suficiencia del presupuesto oficial </w:t>
      </w:r>
    </w:p>
    <w:p w14:paraId="67E0E7E7" w14:textId="77777777" w:rsidR="00B7075C" w:rsidRPr="0013579C" w:rsidRDefault="00B7075C" w:rsidP="009071C7">
      <w:pPr>
        <w:spacing w:after="0"/>
        <w:jc w:val="both"/>
        <w:rPr>
          <w:rFonts w:ascii="Verdana" w:hAnsi="Verdana" w:cs="Arial"/>
          <w:lang w:val="es-ES"/>
        </w:rPr>
      </w:pPr>
    </w:p>
    <w:p w14:paraId="3A2D67D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Las condiciones geográficas y de acceso del lugar en el cual se debe cumplir el objeto</w:t>
      </w:r>
      <w:r w:rsidRPr="0013579C">
        <w:rPr>
          <w:rFonts w:ascii="Verdana" w:hAnsi="Verdana" w:cs="Arial"/>
          <w:lang w:val="es-ES"/>
        </w:rPr>
        <w:t>.</w:t>
      </w:r>
    </w:p>
    <w:p w14:paraId="7AF5F55A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48D271C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Entorno socio ambiental</w:t>
      </w:r>
      <w:r w:rsidRPr="0013579C">
        <w:rPr>
          <w:rFonts w:ascii="Verdana" w:hAnsi="Verdana" w:cs="Arial"/>
          <w:lang w:val="es-ES"/>
        </w:rPr>
        <w:t xml:space="preserve">. </w:t>
      </w:r>
    </w:p>
    <w:p w14:paraId="4C630740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0E1A120C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Condiciones políticas</w:t>
      </w:r>
      <w:r w:rsidRPr="0013579C">
        <w:rPr>
          <w:rFonts w:ascii="Verdana" w:hAnsi="Verdana" w:cs="Arial"/>
          <w:lang w:val="es-ES"/>
        </w:rPr>
        <w:t>.</w:t>
      </w:r>
    </w:p>
    <w:p w14:paraId="19330A23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5618A7E5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Factores ambientales</w:t>
      </w:r>
      <w:r w:rsidRPr="0013579C">
        <w:rPr>
          <w:rFonts w:ascii="Verdana" w:hAnsi="Verdana" w:cs="Arial"/>
          <w:lang w:val="es-ES"/>
        </w:rPr>
        <w:t>.</w:t>
      </w:r>
    </w:p>
    <w:p w14:paraId="0AEDEB77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646EDD9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Normatividad aplicable al objeto del Proceso de Contratación. </w:t>
      </w:r>
    </w:p>
    <w:p w14:paraId="0C37CDE3" w14:textId="6D4F5020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A </w:t>
      </w:r>
      <w:r w:rsidR="009071C7" w:rsidRPr="0013579C">
        <w:rPr>
          <w:rFonts w:ascii="Verdana" w:hAnsi="Verdana" w:cs="Arial"/>
          <w:lang w:val="es-ES"/>
        </w:rPr>
        <w:t>continuación,</w:t>
      </w:r>
      <w:r w:rsidRPr="0013579C">
        <w:rPr>
          <w:rFonts w:ascii="Verdana" w:hAnsi="Verdana" w:cs="Arial"/>
          <w:lang w:val="es-ES"/>
        </w:rPr>
        <w:t xml:space="preserve"> se relaciona la normatividad general y especial a tener en cuenta en el desarrollo del presente contrato:</w:t>
      </w:r>
    </w:p>
    <w:p w14:paraId="53E243BF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LEY 80 DE 1993 </w:t>
      </w:r>
    </w:p>
    <w:p w14:paraId="2A4DDEC3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1150 DE 2007</w:t>
      </w:r>
    </w:p>
    <w:p w14:paraId="0867B9A8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1474 DE 2011</w:t>
      </w:r>
    </w:p>
    <w:p w14:paraId="0E4A1B34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Decreto 1082 de 2015</w:t>
      </w:r>
    </w:p>
    <w:p w14:paraId="4C026412" w14:textId="77777777" w:rsidR="00B7075C" w:rsidRPr="0013579C" w:rsidRDefault="00B7075C" w:rsidP="00B7075C">
      <w:pPr>
        <w:pStyle w:val="Prrafodelista"/>
        <w:spacing w:after="0"/>
        <w:jc w:val="both"/>
        <w:rPr>
          <w:rFonts w:ascii="Verdana" w:hAnsi="Verdana" w:cs="Arial"/>
          <w:lang w:val="es-ES"/>
        </w:rPr>
      </w:pPr>
    </w:p>
    <w:p w14:paraId="12C5D9A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Experiencia propia y de otras Entidades Estatales en Procesos de Contratación del mismo tipo</w:t>
      </w:r>
    </w:p>
    <w:p w14:paraId="50D6E382" w14:textId="3F2E65A8" w:rsidR="003E1B85" w:rsidRPr="0013579C" w:rsidRDefault="008662D5">
      <w:pPr>
        <w:rPr>
          <w:rFonts w:ascii="Verdana" w:hAnsi="Verdana" w:cs="Arial"/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EB59F" wp14:editId="0786FEB1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6164580" cy="868680"/>
                <wp:effectExtent l="0" t="0" r="0" b="7620"/>
                <wp:wrapNone/>
                <wp:docPr id="19820958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A749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BBB6194" w14:textId="77777777" w:rsidR="008662D5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9B3E3C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54AF6AF9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68A7B0F0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043BE944" w14:textId="77777777" w:rsidR="008662D5" w:rsidRPr="00764AA0" w:rsidRDefault="008662D5" w:rsidP="008662D5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B5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4.2pt;width:485.4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8wa5wd8AAAAHAQAADwAAAAAA&#10;AAAAAAAAAABYBAAAZHJzL2Rvd25yZXYueG1sUEsFBgAAAAAEAAQA8wAAAGQFAAAAAA==&#10;" filled="f" stroked="f" strokeweight=".5pt">
                <v:textbox>
                  <w:txbxContent>
                    <w:p w14:paraId="2241A749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_______________________________________________________________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_______________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_________</w:t>
                      </w:r>
                    </w:p>
                    <w:p w14:paraId="4BBB6194" w14:textId="77777777" w:rsidR="008662D5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9B3E3C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Ministerio de Vivienda, Ciudad y Territorio</w:t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54AF6AF9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Calle 17 # 9 - 36, Bogotá D.C., Colombia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68A7B0F0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PBX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(601) 914 21 74                 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043BE944" w14:textId="77777777" w:rsidR="008662D5" w:rsidRPr="00764AA0" w:rsidRDefault="008662D5" w:rsidP="008662D5">
                      <w:pPr>
                        <w:spacing w:after="0" w:line="240" w:lineRule="auto"/>
                        <w:ind w:firstLineChars="1500" w:firstLine="240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B85" w:rsidRPr="0013579C">
        <w:rPr>
          <w:rFonts w:ascii="Verdana" w:hAnsi="Verdana" w:cs="Arial"/>
          <w:lang w:val="es-ES"/>
        </w:rPr>
        <w:br w:type="page"/>
      </w:r>
    </w:p>
    <w:p w14:paraId="32771BE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lastRenderedPageBreak/>
        <w:t>Valoración de Riesgos</w:t>
      </w:r>
    </w:p>
    <w:p w14:paraId="4A66B949" w14:textId="77777777" w:rsidR="00B7075C" w:rsidRPr="0013579C" w:rsidRDefault="00B7075C" w:rsidP="00B7075C">
      <w:pPr>
        <w:pStyle w:val="Prrafodelista"/>
        <w:spacing w:after="0"/>
        <w:ind w:left="360"/>
        <w:jc w:val="both"/>
        <w:rPr>
          <w:rFonts w:ascii="Verdana" w:hAnsi="Verdana" w:cs="Arial"/>
          <w:b/>
          <w:lang w:val="es-ES"/>
        </w:rPr>
      </w:pPr>
    </w:p>
    <w:p w14:paraId="61DEEF9F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Escala de Consecuencias probabilidad</w:t>
      </w:r>
    </w:p>
    <w:p w14:paraId="409B9941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83"/>
        <w:gridCol w:w="1984"/>
      </w:tblGrid>
      <w:tr w:rsidR="00B7075C" w:rsidRPr="0013579C" w14:paraId="44FB0AD3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2C531B12" w14:textId="100B6146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CONSECUENCIAS</w:t>
            </w:r>
          </w:p>
        </w:tc>
        <w:tc>
          <w:tcPr>
            <w:tcW w:w="1418" w:type="dxa"/>
            <w:tcBorders>
              <w:top w:val="single" w:sz="8" w:space="0" w:color="7030A0"/>
              <w:left w:val="nil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B424DD2" w14:textId="45F424AA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PROBABILIDAD</w:t>
            </w:r>
          </w:p>
        </w:tc>
        <w:tc>
          <w:tcPr>
            <w:tcW w:w="1984" w:type="dxa"/>
            <w:tcBorders>
              <w:top w:val="single" w:sz="8" w:space="0" w:color="7030A0"/>
              <w:left w:val="nil"/>
              <w:bottom w:val="single" w:sz="4" w:space="0" w:color="C00000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9B02152" w14:textId="2EDA1370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SUJETOS DE RIESGO</w:t>
            </w:r>
          </w:p>
        </w:tc>
      </w:tr>
      <w:tr w:rsidR="00B7075C" w:rsidRPr="0013579C" w14:paraId="6F4BA88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DDB17C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Catastrófico &lt;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92CAA1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Casi cierto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1867BE5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Contratista</w:t>
            </w:r>
          </w:p>
        </w:tc>
      </w:tr>
      <w:tr w:rsidR="00B7075C" w:rsidRPr="0013579C" w14:paraId="57F4DA36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448C2C1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Mayor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0833B8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Probable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58E8799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Entidad Contratante</w:t>
            </w:r>
          </w:p>
        </w:tc>
      </w:tr>
      <w:tr w:rsidR="00B7075C" w:rsidRPr="0013579C" w14:paraId="44B50B3F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7643D74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Moderado 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B96844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Posible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CCD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1DA753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707D414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Menor 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03D64D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Improbable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458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9B8F826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4CEAEB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Insignificante - 1%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812960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Raro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13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</w:tbl>
    <w:p w14:paraId="4814B39A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5D3B0711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386"/>
        <w:gridCol w:w="1250"/>
        <w:gridCol w:w="1773"/>
        <w:gridCol w:w="1656"/>
      </w:tblGrid>
      <w:tr w:rsidR="00B7075C" w:rsidRPr="0013579C" w14:paraId="51C11A21" w14:textId="77777777" w:rsidTr="006B25A8">
        <w:trPr>
          <w:trHeight w:val="3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AF523" w14:textId="3D8409F8" w:rsidR="00B7075C" w:rsidRPr="0013579C" w:rsidRDefault="00B7075C" w:rsidP="006B2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Casi Cierto</w:t>
            </w:r>
            <w:r w:rsidR="006B25A8"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9EB1103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9F87D0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1CE04BD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3C9F44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55AC659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</w:t>
            </w:r>
          </w:p>
        </w:tc>
      </w:tr>
      <w:tr w:rsidR="00B7075C" w:rsidRPr="0013579C" w14:paraId="3E9BE52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455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16D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1E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D08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C14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D8E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2E3B5B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2AF9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Probable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07AE1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0AF827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682C4F8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6F4523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60257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</w:tr>
      <w:tr w:rsidR="00B7075C" w:rsidRPr="0013579C" w14:paraId="4008085B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E529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5E6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3D0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1F4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7EF3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1009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23D766D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551C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Posible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B8F9E3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FB5195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19A006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C0DB16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45AA0C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</w:tr>
      <w:tr w:rsidR="00B7075C" w:rsidRPr="0013579C" w14:paraId="6C1D9A0A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06B0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E0D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92E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79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E8C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6B6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379DC8D8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B731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Improbable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A6BCE3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4D2F40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BE8F83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7387A5A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5EBF18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</w:tr>
      <w:tr w:rsidR="00B7075C" w:rsidRPr="0013579C" w14:paraId="29AA72F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EE986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987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DE7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DE1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B29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C7A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1E377AC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90A6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Raro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4E1E73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97101B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5C0C1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947DDA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450F956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</w:tr>
      <w:tr w:rsidR="00B7075C" w:rsidRPr="0013579C" w14:paraId="513A7269" w14:textId="77777777" w:rsidTr="006B25A8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2C08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4FBF20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40A3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7ABED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BB90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E929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5DD3ED13" w14:textId="77777777" w:rsidTr="006B25A8">
        <w:trPr>
          <w:trHeight w:val="420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4411F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19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DB7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4C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97F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AD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7075C" w:rsidRPr="0013579C" w14:paraId="42A79335" w14:textId="77777777" w:rsidTr="006B25A8">
        <w:trPr>
          <w:trHeight w:val="10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ACE5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A52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Insignificante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453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Menor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9D6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88B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1A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Catastrófico</w:t>
            </w:r>
          </w:p>
        </w:tc>
      </w:tr>
      <w:tr w:rsidR="00B7075C" w:rsidRPr="0013579C" w14:paraId="070467FE" w14:textId="77777777" w:rsidTr="006B25A8">
        <w:trPr>
          <w:trHeight w:val="159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2A4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D7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de manera intrascendente.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1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Dificulta la ejecución del contrato de manera baja, aplicando medidas mínimas se pueden lograr el objeto contractual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0F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Afecta la ejecución del contrato sin alterar el beneficio para las partes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DE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sustancialmente pero aun así permite la consecución del objeto contractual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6F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Perturba la ejecución del contrato de manera grave imposibilitando la consecución del objeto contractual.</w:t>
            </w:r>
          </w:p>
        </w:tc>
      </w:tr>
    </w:tbl>
    <w:p w14:paraId="23607EA0" w14:textId="77777777" w:rsidR="00B7075C" w:rsidRPr="0013579C" w:rsidRDefault="00B7075C">
      <w:pPr>
        <w:rPr>
          <w:rFonts w:ascii="Verdana" w:hAnsi="Verdana" w:cs="Arial"/>
          <w:b/>
        </w:rPr>
      </w:pPr>
    </w:p>
    <w:p w14:paraId="737138A0" w14:textId="77777777" w:rsidR="00B7075C" w:rsidRPr="0013579C" w:rsidRDefault="00B7075C">
      <w:pPr>
        <w:rPr>
          <w:rFonts w:ascii="Verdana" w:hAnsi="Verdana" w:cs="Arial"/>
          <w:b/>
        </w:rPr>
      </w:pPr>
    </w:p>
    <w:p w14:paraId="75C1BF31" w14:textId="77777777" w:rsidR="00B7075C" w:rsidRPr="0013579C" w:rsidRDefault="00B7075C">
      <w:pPr>
        <w:rPr>
          <w:rFonts w:ascii="Verdana" w:hAnsi="Verdana" w:cs="Arial"/>
          <w:b/>
        </w:rPr>
      </w:pPr>
    </w:p>
    <w:p w14:paraId="470F7D6A" w14:textId="5CEFB7E3" w:rsidR="007767F2" w:rsidRPr="0013579C" w:rsidRDefault="003551DE">
      <w:pPr>
        <w:rPr>
          <w:rFonts w:ascii="Verdana" w:hAnsi="Verdana" w:cs="Arial"/>
          <w:b/>
          <w:lang w:val="en-US"/>
        </w:rPr>
      </w:pPr>
      <w:r w:rsidRPr="0013579C">
        <w:rPr>
          <w:rFonts w:ascii="Verdana" w:hAnsi="Verdana" w:cs="Arial"/>
          <w:b/>
          <w:lang w:val="en-US"/>
        </w:rPr>
        <w:t xml:space="preserve">MATRIZ DE RIESGOS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65"/>
        <w:gridCol w:w="265"/>
        <w:gridCol w:w="265"/>
        <w:gridCol w:w="266"/>
        <w:gridCol w:w="828"/>
        <w:gridCol w:w="937"/>
        <w:gridCol w:w="266"/>
        <w:gridCol w:w="266"/>
        <w:gridCol w:w="266"/>
        <w:gridCol w:w="266"/>
        <w:gridCol w:w="266"/>
        <w:gridCol w:w="1051"/>
        <w:gridCol w:w="266"/>
        <w:gridCol w:w="266"/>
        <w:gridCol w:w="266"/>
        <w:gridCol w:w="273"/>
        <w:gridCol w:w="241"/>
        <w:gridCol w:w="425"/>
        <w:gridCol w:w="567"/>
        <w:gridCol w:w="425"/>
        <w:gridCol w:w="709"/>
        <w:gridCol w:w="709"/>
      </w:tblGrid>
      <w:tr w:rsidR="00371BB9" w:rsidRPr="0013579C" w14:paraId="7630236F" w14:textId="77777777" w:rsidTr="00371BB9">
        <w:trPr>
          <w:trHeight w:val="990"/>
          <w:tblHeader/>
        </w:trPr>
        <w:tc>
          <w:tcPr>
            <w:tcW w:w="214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55CFC4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B4752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A449F0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Fuente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596402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Etapa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02762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Tipo</w:t>
            </w:r>
          </w:p>
        </w:tc>
        <w:tc>
          <w:tcPr>
            <w:tcW w:w="828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1EA20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93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5DFA727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Consecuencia de la ocurrencia del evento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C06B01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79F947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01069B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30B521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D1E0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 quién se le asigna?</w:t>
            </w:r>
          </w:p>
        </w:tc>
        <w:tc>
          <w:tcPr>
            <w:tcW w:w="105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218DE6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Tratamiento/Control a ser implementado</w:t>
            </w:r>
          </w:p>
        </w:tc>
        <w:tc>
          <w:tcPr>
            <w:tcW w:w="1071" w:type="dxa"/>
            <w:gridSpan w:val="4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5BCF01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 después del tratamiento</w:t>
            </w:r>
          </w:p>
        </w:tc>
        <w:tc>
          <w:tcPr>
            <w:tcW w:w="24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6B14A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¿Afecta la ejecución del contrato?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hideMark/>
          </w:tcPr>
          <w:p w14:paraId="7624A4D9" w14:textId="127EB28D" w:rsidR="00371BB9" w:rsidRPr="0013579C" w:rsidRDefault="003551DE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Responsable por implementar el </w:t>
            </w:r>
            <w:r w:rsidR="00371BB9"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</w:t>
            </w:r>
          </w:p>
          <w:p w14:paraId="3A04E17A" w14:textId="7FEE5AF7" w:rsidR="00371BB9" w:rsidRPr="0013579C" w:rsidRDefault="00371BB9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DA495E3" w14:textId="77777777" w:rsidR="00371BB9" w:rsidRPr="0013579C" w:rsidRDefault="00371BB9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684ADA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inicia el tratamiento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AB661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completa el tratamiento</w:t>
            </w:r>
          </w:p>
        </w:tc>
        <w:tc>
          <w:tcPr>
            <w:tcW w:w="141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61BBA18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Monitoreo y revisión</w:t>
            </w:r>
          </w:p>
        </w:tc>
      </w:tr>
      <w:tr w:rsidR="00371BB9" w:rsidRPr="0013579C" w14:paraId="0186F2C6" w14:textId="77777777" w:rsidTr="00371BB9">
        <w:trPr>
          <w:trHeight w:val="48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CC5B67" w14:textId="6DA2218F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DB3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F8DA22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BD5484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043BF3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0B638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F5A42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A861C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BB42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F86E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AF998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A136B8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BCFB8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4F0B0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7526955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643CE00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0E6C80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37E51A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0F77E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C783CC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C05FE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0E2D0B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¿Cómo se </w:t>
            </w:r>
            <w:proofErr w:type="gramStart"/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realiza  el</w:t>
            </w:r>
            <w:proofErr w:type="gramEnd"/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 monitoreo?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712A5EE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Periodicidad</w:t>
            </w:r>
          </w:p>
        </w:tc>
      </w:tr>
      <w:tr w:rsidR="00371BB9" w:rsidRPr="0013579C" w14:paraId="6028AF23" w14:textId="77777777" w:rsidTr="00371BB9">
        <w:trPr>
          <w:trHeight w:val="135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1C545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6DC999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FC671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90AE4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1E866B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B9F9A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ACA20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D1300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2C409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B644E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07E5B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8E5C0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26CA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6E61A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BA5FE2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13924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DEA60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79408E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527305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76FF1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2585C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D8ADEE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395AD5D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71BB9" w:rsidRPr="0013579C" w14:paraId="2B0950E6" w14:textId="77777777" w:rsidTr="00371BB9">
        <w:trPr>
          <w:trHeight w:val="280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3D3B0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B1B70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6ADBA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1DBF1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DA88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9643BD" w14:textId="5E45823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Ausencia del contratista. Durante la ejecución del contrato puede presentarse ausencia del contratista por accidentes y/o enfermedades.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EB1929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D505D2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F13706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7CBC60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F78031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1C0E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1645F32" w14:textId="5564220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 para el reemplazo temporal o permanente del contratista.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2A4EB3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BDF6B2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1F75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2FB607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0B0492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5F38FD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E340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81BC9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D186F2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D6BC8F5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D62974E" w14:textId="77777777" w:rsidTr="00371BB9">
        <w:trPr>
          <w:trHeight w:val="175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F713EA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7C6D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7CA8E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68AC7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AE19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2606EB" w14:textId="2E808A3F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Dificultades del contratista para acceder a la sede del MVCT donde desarrolla el contrato. Durante la ejecución del contrato puede presentarse ausencia del contratista por situaciones de orden público.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E453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61E9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D42BAC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4033E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5B7DC9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3A4B2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069BE39" w14:textId="5453F03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3B3681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4AC72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6BCEA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187959A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70DBD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ADC8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F96AD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A83EB6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1EBBF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1C1BC7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ABDE3D9" w14:textId="77777777" w:rsidTr="00371BB9">
        <w:trPr>
          <w:trHeight w:val="2700"/>
        </w:trPr>
        <w:tc>
          <w:tcPr>
            <w:tcW w:w="214" w:type="dxa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5368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CD8DB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667FF8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C1D6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43304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5A0E8A5" w14:textId="432B32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Perdida o daños en la información que requiera el contratista para el desarrollo del contrato. Durante el plazo de ejecución del contrato se podría presentar perdida, robo, o daños de los equipos en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donde se procese o almacene información, así como en archivo físico que utiliza el contratista.</w:t>
            </w:r>
          </w:p>
        </w:tc>
        <w:tc>
          <w:tcPr>
            <w:tcW w:w="93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909C049" w14:textId="7A83DAB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el desarrollo de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Reprocesos, por necesidad de repetir actividades de recolección de información.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2268C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1AF70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83CC1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1539749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96D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2E3DAB3D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herramientas que permitan guardar copias de respaldo de la información generada y necesaria para 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EDF0B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BD8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FB6CB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985AE9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88702F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87A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C67A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D4A390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379FD1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79EE01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C8917ED" w14:textId="77777777" w:rsidTr="00371BB9">
        <w:trPr>
          <w:trHeight w:val="2700"/>
        </w:trPr>
        <w:tc>
          <w:tcPr>
            <w:tcW w:w="214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1DAD8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9FF5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8789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CAFCE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F8FDFE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D8E723E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Errores o deficiencias en entregables y productos que desarrolle el contratista. Debido al uso de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información errada, desactualizada o en general por causas atribuibles al contratista.</w:t>
            </w:r>
          </w:p>
        </w:tc>
        <w:tc>
          <w:tcPr>
            <w:tcW w:w="93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CC1AAFC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Errores en la toma de decisiones por parte del MVCT, basada en la información suministrada por el contratista.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C9660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55CFF2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BB458F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30C532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82D4D4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CF98A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un plan trabajo que permita establecer un orden y los recursos necesari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os para el cumplimiento de las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herramienta que facilite el uso de la información.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C446E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DEE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AF6EDD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4E0F734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1C53AC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D1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2675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8993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0E6A3C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B252F01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6DC288C0" w14:textId="77777777" w:rsidTr="00371BB9">
        <w:trPr>
          <w:trHeight w:val="343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2679B6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C213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7EF86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0BE87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E243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735DBF1" w14:textId="1CD8DCA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Accidentes Laborales Durante la ejecución del contrato pueden presentarse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accidentes de orden laboral que afecten la salud e integridad física del contratista.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843AB07" w14:textId="20200C5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Acciones legales hacia el ministerio para el pago de indemnizaciones.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7051CC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2D29E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1AE2E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7242A5C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DE9C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433739D" w14:textId="142F95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(d) Reducir la probabilidad de la ocurrencia del evento. Implementar de Sistema de Gestión y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Seguridad en el Trabajo. Afiliación al día en el Sistema General de Riesgos Laborales.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E73EE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41D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9C6B0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5CE27"/>
            <w:noWrap/>
            <w:textDirection w:val="btLr"/>
            <w:vAlign w:val="center"/>
            <w:hideMark/>
          </w:tcPr>
          <w:p w14:paraId="266D2DA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Medio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7D711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68E1E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B098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3E361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526AB8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78E00D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3571ECB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B050F6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2BF02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A8E1E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5F058A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086D0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EF49917" w14:textId="24F555E9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Demoras en la ejecución de las actividades y entrega de productos e informes. Tardía o defectuosa apropiación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de información elementos o insumos para el desarrollo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Orden público.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Enfermedad.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8A1D34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cronograma de actividades. Necesidad de reprogramación de actividades.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3264E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55577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8096BD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C7BCBE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498BB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4810967" w14:textId="3C4EB6EB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(d) Reducir la probabilidad de la ocurrencia del evento. Implementación, apropiación y aplicación de manuales de procedimientos y funcione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 para el desempeño de sus obligaciones.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55270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6BE9E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9D269A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282C73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C4C609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92169E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E78F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8BC00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B53256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FCE2B1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525D8D56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0450FA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475BB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3A33A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0569E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BC719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725EDAA3" w14:textId="56962E6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Infidelidad de contratista. Actos deshonestos, fraude, falsificación, delitos electrónicos, entre otras.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3BF69A2C" w14:textId="002BA84D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Pérdidas patrimoniales para la entidad.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Acciones de entes de control.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566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EC0A2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236C6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2D01EE6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24AAF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1FC041CB" w14:textId="46FBDEA4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Incrementar frecuencia de auditorías de gestión.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 xml:space="preserve">Aplicación de doble </w:t>
            </w:r>
            <w:proofErr w:type="spell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check</w:t>
            </w:r>
            <w:proofErr w:type="spellEnd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list</w:t>
            </w:r>
            <w:proofErr w:type="spellEnd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a la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gestión del contratista.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Contratación de Seguros suficiente.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A8BDB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8325C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4DB07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noWrap/>
            <w:textDirection w:val="btLr"/>
            <w:vAlign w:val="center"/>
            <w:hideMark/>
          </w:tcPr>
          <w:p w14:paraId="1E76B4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01BB9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C874B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Contratista/MVCT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D77BC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96B78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420C303B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68A30E0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</w:tbl>
    <w:p w14:paraId="3ABD42D2" w14:textId="47990614" w:rsidR="003551DE" w:rsidRPr="0013579C" w:rsidRDefault="003551DE">
      <w:pPr>
        <w:rPr>
          <w:rFonts w:ascii="Verdana" w:hAnsi="Verdana" w:cs="Arial"/>
          <w:b/>
          <w:lang w:val="en-US"/>
        </w:rPr>
      </w:pPr>
    </w:p>
    <w:p w14:paraId="16FABD76" w14:textId="2C4315FC" w:rsidR="003551DE" w:rsidRPr="0013579C" w:rsidRDefault="003551DE">
      <w:pPr>
        <w:rPr>
          <w:rFonts w:ascii="Verdana" w:hAnsi="Verdana" w:cs="Arial"/>
          <w:b/>
        </w:rPr>
      </w:pPr>
    </w:p>
    <w:sectPr w:rsidR="003551DE" w:rsidRPr="0013579C" w:rsidSect="008816E0">
      <w:headerReference w:type="default" r:id="rId10"/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1EE42" w14:textId="77777777" w:rsidR="00B44AB3" w:rsidRDefault="00B44AB3" w:rsidP="003E1B85">
      <w:pPr>
        <w:spacing w:after="0" w:line="240" w:lineRule="auto"/>
      </w:pPr>
      <w:r>
        <w:separator/>
      </w:r>
    </w:p>
  </w:endnote>
  <w:endnote w:type="continuationSeparator" w:id="0">
    <w:p w14:paraId="3568D82E" w14:textId="77777777" w:rsidR="00B44AB3" w:rsidRDefault="00B44AB3" w:rsidP="003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"/>
        <w:sz w:val="16"/>
        <w:szCs w:val="16"/>
      </w:rPr>
      <w:id w:val="-106024773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35933C44" w14:textId="26979D53" w:rsidR="003E1B85" w:rsidRPr="009D1D8B" w:rsidRDefault="003E1B85" w:rsidP="00262E6F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10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11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C265" w14:textId="77777777" w:rsidR="00B44AB3" w:rsidRDefault="00B44AB3" w:rsidP="003E1B85">
      <w:pPr>
        <w:spacing w:after="0" w:line="240" w:lineRule="auto"/>
      </w:pPr>
      <w:r>
        <w:separator/>
      </w:r>
    </w:p>
  </w:footnote>
  <w:footnote w:type="continuationSeparator" w:id="0">
    <w:p w14:paraId="187F006A" w14:textId="77777777" w:rsidR="00B44AB3" w:rsidRDefault="00B44AB3" w:rsidP="003E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0758" w14:textId="1E0ED773" w:rsidR="00081457" w:rsidRDefault="00E76592" w:rsidP="00081457">
    <w:pPr>
      <w:pStyle w:val="Encabezado"/>
      <w:tabs>
        <w:tab w:val="right" w:pos="9360"/>
      </w:tabs>
      <w:jc w:val="right"/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6C1C29" wp14:editId="0E07E5E6">
          <wp:simplePos x="0" y="0"/>
          <wp:positionH relativeFrom="page">
            <wp:align>right</wp:align>
          </wp:positionH>
          <wp:positionV relativeFrom="paragraph">
            <wp:posOffset>-823595</wp:posOffset>
          </wp:positionV>
          <wp:extent cx="7756525" cy="934212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8" cy="9342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9BA6C" w14:textId="3CBE2034" w:rsidR="00081457" w:rsidRDefault="00081457" w:rsidP="00081457">
    <w:pPr>
      <w:pStyle w:val="Encabezado"/>
      <w:tabs>
        <w:tab w:val="right" w:pos="9360"/>
      </w:tabs>
      <w:rPr>
        <w:b/>
        <w:sz w:val="20"/>
      </w:rPr>
    </w:pPr>
  </w:p>
  <w:p w14:paraId="6DD9A483" w14:textId="77777777" w:rsidR="00E76592" w:rsidRDefault="00E76592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</w:p>
  <w:p w14:paraId="70D19A06" w14:textId="02BB7DE6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FORMATO: ANALISIS DE RIESGOS PRESTACIÓN DE SERVICIOS PROFESIONALES - OFICINA</w:t>
    </w:r>
  </w:p>
  <w:p w14:paraId="340EBB63" w14:textId="77777777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PROCESO: GESTIÓN DE CONTRATACIÓN</w:t>
    </w:r>
  </w:p>
  <w:p w14:paraId="635D8D3F" w14:textId="2629620C" w:rsidR="003E1B85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</w:rPr>
    </w:pPr>
    <w:r w:rsidRPr="0013579C">
      <w:rPr>
        <w:rFonts w:ascii="Verdana" w:hAnsi="Verdana"/>
        <w:bCs/>
        <w:sz w:val="20"/>
      </w:rPr>
      <w:t xml:space="preserve">Versión: </w:t>
    </w:r>
    <w:r w:rsidR="00B321CD">
      <w:rPr>
        <w:rFonts w:ascii="Verdana" w:hAnsi="Verdana"/>
        <w:bCs/>
        <w:sz w:val="20"/>
      </w:rPr>
      <w:t>4</w:t>
    </w:r>
    <w:r w:rsidRPr="0013579C">
      <w:rPr>
        <w:rFonts w:ascii="Verdana" w:hAnsi="Verdana"/>
        <w:bCs/>
        <w:sz w:val="20"/>
      </w:rPr>
      <w:t xml:space="preserve">, Fecha: </w:t>
    </w:r>
    <w:r w:rsidR="0013579C">
      <w:rPr>
        <w:rFonts w:ascii="Verdana" w:hAnsi="Verdana"/>
        <w:bCs/>
        <w:sz w:val="20"/>
      </w:rPr>
      <w:t>15/0</w:t>
    </w:r>
    <w:r w:rsidR="00B321CD">
      <w:rPr>
        <w:rFonts w:ascii="Verdana" w:hAnsi="Verdana"/>
        <w:bCs/>
        <w:sz w:val="20"/>
      </w:rPr>
      <w:t>7</w:t>
    </w:r>
    <w:r w:rsidRPr="0013579C">
      <w:rPr>
        <w:rFonts w:ascii="Verdana" w:hAnsi="Verdana"/>
        <w:bCs/>
        <w:sz w:val="20"/>
      </w:rPr>
      <w:t>/20</w:t>
    </w:r>
    <w:r w:rsidR="0013579C">
      <w:rPr>
        <w:rFonts w:ascii="Verdana" w:hAnsi="Verdana"/>
        <w:bCs/>
        <w:sz w:val="20"/>
      </w:rPr>
      <w:t>2</w:t>
    </w:r>
    <w:r w:rsidR="00B321CD">
      <w:rPr>
        <w:rFonts w:ascii="Verdana" w:hAnsi="Verdana"/>
        <w:bCs/>
        <w:sz w:val="20"/>
      </w:rPr>
      <w:t>4</w:t>
    </w:r>
    <w:r w:rsidRPr="0013579C">
      <w:rPr>
        <w:rFonts w:ascii="Verdana" w:hAnsi="Verdana"/>
        <w:bCs/>
        <w:sz w:val="20"/>
      </w:rPr>
      <w:t>, Código: GCT-F-34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407F"/>
    <w:multiLevelType w:val="hybridMultilevel"/>
    <w:tmpl w:val="12DA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C98"/>
    <w:multiLevelType w:val="hybridMultilevel"/>
    <w:tmpl w:val="51BCFC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99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8538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5334">
    <w:abstractNumId w:val="1"/>
  </w:num>
  <w:num w:numId="3" w16cid:durableId="281694626">
    <w:abstractNumId w:val="2"/>
  </w:num>
  <w:num w:numId="4" w16cid:durableId="12551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5"/>
    <w:rsid w:val="000619C9"/>
    <w:rsid w:val="00081457"/>
    <w:rsid w:val="00095D9A"/>
    <w:rsid w:val="000C5392"/>
    <w:rsid w:val="0013579C"/>
    <w:rsid w:val="00224080"/>
    <w:rsid w:val="00262E6F"/>
    <w:rsid w:val="002737AD"/>
    <w:rsid w:val="002F0483"/>
    <w:rsid w:val="00354E1C"/>
    <w:rsid w:val="003551DE"/>
    <w:rsid w:val="00371BB9"/>
    <w:rsid w:val="003E1B85"/>
    <w:rsid w:val="00431A11"/>
    <w:rsid w:val="004505F2"/>
    <w:rsid w:val="004A3685"/>
    <w:rsid w:val="004A5687"/>
    <w:rsid w:val="006B25A8"/>
    <w:rsid w:val="00766E5F"/>
    <w:rsid w:val="007767F2"/>
    <w:rsid w:val="007E4401"/>
    <w:rsid w:val="007E6E93"/>
    <w:rsid w:val="008662D5"/>
    <w:rsid w:val="008816E0"/>
    <w:rsid w:val="008D0799"/>
    <w:rsid w:val="009071C7"/>
    <w:rsid w:val="00930190"/>
    <w:rsid w:val="00951432"/>
    <w:rsid w:val="009D1D8B"/>
    <w:rsid w:val="00A10A6E"/>
    <w:rsid w:val="00AC6499"/>
    <w:rsid w:val="00AF1EEF"/>
    <w:rsid w:val="00B15D32"/>
    <w:rsid w:val="00B321CD"/>
    <w:rsid w:val="00B44AB3"/>
    <w:rsid w:val="00B7075C"/>
    <w:rsid w:val="00BB7FCE"/>
    <w:rsid w:val="00BD3525"/>
    <w:rsid w:val="00D437EB"/>
    <w:rsid w:val="00D713D5"/>
    <w:rsid w:val="00DA73E1"/>
    <w:rsid w:val="00E32873"/>
    <w:rsid w:val="00E76592"/>
    <w:rsid w:val="00EE14DF"/>
    <w:rsid w:val="00EE4249"/>
    <w:rsid w:val="00F1675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E3872"/>
  <w15:docId w15:val="{C828CD94-37BD-4ED9-A68D-4225AAE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3551DE"/>
    <w:rPr>
      <w:rFonts w:ascii="Times New Roman" w:eastAsiaTheme="minorEastAsia" w:hAnsi="Times New Roman" w:cs="Times New Roman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551D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51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4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4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32"/>
    <w:rPr>
      <w:rFonts w:ascii="Segoe UI" w:hAnsi="Segoe UI" w:cs="Segoe UI"/>
      <w:sz w:val="18"/>
      <w:szCs w:val="18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uiPriority w:val="99"/>
    <w:locked/>
    <w:rsid w:val="00766E5F"/>
    <w:rPr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unhideWhenUsed/>
    <w:rsid w:val="00766E5F"/>
    <w:pPr>
      <w:tabs>
        <w:tab w:val="center" w:pos="4252"/>
        <w:tab w:val="right" w:pos="8504"/>
      </w:tabs>
      <w:spacing w:after="0" w:line="240" w:lineRule="auto"/>
    </w:pPr>
    <w:rPr>
      <w:lang w:val="es-ES" w:eastAsia="es-ES"/>
    </w:rPr>
  </w:style>
  <w:style w:type="character" w:customStyle="1" w:styleId="EncabezadoCar">
    <w:name w:val="Encabezado Car"/>
    <w:basedOn w:val="Fuentedeprrafopredeter"/>
    <w:rsid w:val="00766E5F"/>
  </w:style>
  <w:style w:type="paragraph" w:styleId="Piedepgina">
    <w:name w:val="footer"/>
    <w:basedOn w:val="Normal"/>
    <w:link w:val="PiedepginaCar"/>
    <w:uiPriority w:val="99"/>
    <w:unhideWhenUsed/>
    <w:rsid w:val="003E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5823F172-96A8-46D1-9C03-1D024880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81467-4151-4C09-A8F5-8809B892B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84F7-212C-471A-8659-D25DB682BF7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GCT-F-34  Análisis de Riesgos Prestación Ser Prof - Oficina 1.0</vt:lpstr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2</dc:creator>
  <cp:keywords/>
  <dc:description/>
  <cp:lastModifiedBy>Sergio Alfonso Duran Perez</cp:lastModifiedBy>
  <cp:revision>18</cp:revision>
  <cp:lastPrinted>2019-08-14T18:31:00Z</cp:lastPrinted>
  <dcterms:created xsi:type="dcterms:W3CDTF">2019-08-06T20:03:00Z</dcterms:created>
  <dcterms:modified xsi:type="dcterms:W3CDTF">2024-07-16T03:05:00Z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1427800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